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28006D"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6A686208" w:rsidR="00CD36CF" w:rsidRDefault="0028006D"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2967</w:t>
          </w:r>
        </w:sdtContent>
      </w:sdt>
    </w:p>
    <w:p w14:paraId="18904BE0" w14:textId="79C78B28"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E60B77">
            <w:t>Delegate</w:t>
          </w:r>
          <w:r w:rsidR="009C3F1B">
            <w:t>s</w:t>
          </w:r>
          <w:r w:rsidR="00E60B77">
            <w:t xml:space="preserve"> Pushkin</w:t>
          </w:r>
          <w:r w:rsidR="009C3F1B">
            <w:t xml:space="preserve">, Hansen, and Young </w:t>
          </w:r>
        </w:sdtContent>
      </w:sdt>
    </w:p>
    <w:p w14:paraId="72BB9E26" w14:textId="40212486" w:rsidR="00E831B3" w:rsidRDefault="00CD36CF" w:rsidP="00CC1F3B">
      <w:pPr>
        <w:pStyle w:val="References"/>
      </w:pPr>
      <w:r>
        <w:t>[</w:t>
      </w:r>
      <w:sdt>
        <w:sdtPr>
          <w:tag w:val="References"/>
          <w:id w:val="-1043047873"/>
          <w:placeholder>
            <w:docPart w:val="93732D240D6C48BC956F6DFCEB5D3696"/>
          </w:placeholder>
          <w:text w:multiLine="1"/>
        </w:sdtPr>
        <w:sdtEndPr/>
        <w:sdtContent>
          <w:r w:rsidR="0028006D">
            <w:t>Introduced February 25, 2025; referred to the Committee on Finance</w:t>
          </w:r>
        </w:sdtContent>
      </w:sdt>
      <w:r>
        <w:t>]</w:t>
      </w:r>
    </w:p>
    <w:p w14:paraId="383D5D83" w14:textId="6BFDD209" w:rsidR="004B19D7" w:rsidRPr="008F5532" w:rsidRDefault="0000526A" w:rsidP="004B19D7">
      <w:pPr>
        <w:pStyle w:val="TitleSection"/>
        <w:rPr>
          <w:color w:val="auto"/>
        </w:rPr>
      </w:pPr>
      <w:r>
        <w:lastRenderedPageBreak/>
        <w:t>A BILL</w:t>
      </w:r>
      <w:r w:rsidR="004B19D7">
        <w:t xml:space="preserve"> </w:t>
      </w:r>
      <w:r w:rsidR="004B19D7" w:rsidRPr="008F5532">
        <w:rPr>
          <w:color w:val="auto"/>
        </w:rPr>
        <w:t>to amend and reenact §33-6B-3</w:t>
      </w:r>
      <w:r w:rsidR="004B19D7">
        <w:rPr>
          <w:color w:val="auto"/>
        </w:rPr>
        <w:t>,</w:t>
      </w:r>
      <w:r w:rsidR="004B19D7" w:rsidRPr="004B19D7">
        <w:rPr>
          <w:color w:val="auto"/>
        </w:rPr>
        <w:t xml:space="preserve"> </w:t>
      </w:r>
      <w:r w:rsidR="004B19D7" w:rsidRPr="008F5532">
        <w:rPr>
          <w:color w:val="auto"/>
        </w:rPr>
        <w:t>§33-20-3 and §33-20-5 of the Code of West Virginia, 1931, as amended, all relating to prohibiting the number of inquiries reflected in a credit report</w:t>
      </w:r>
      <w:r w:rsidR="00D96B47">
        <w:rPr>
          <w:color w:val="auto"/>
        </w:rPr>
        <w:t xml:space="preserve"> or</w:t>
      </w:r>
      <w:r w:rsidR="004B19D7" w:rsidRPr="008F5532">
        <w:rPr>
          <w:color w:val="auto"/>
        </w:rPr>
        <w:t xml:space="preserve"> credit score report from adversely affecting an application for insurance; limiting the use of a credit score to banking institution credit scoring for casualty insurance rate filings; prohibiting reliance on information which is false or potentially false; and limiting the use of a credit score in casualty insurance rate filings.</w:t>
      </w:r>
    </w:p>
    <w:p w14:paraId="2F9834BD" w14:textId="77777777" w:rsidR="00303684" w:rsidRDefault="00303684" w:rsidP="00CC1F3B">
      <w:pPr>
        <w:pStyle w:val="EnactingClause"/>
      </w:pPr>
      <w:r>
        <w:t>Be it enacted by the Legislature of West Virginia:</w:t>
      </w:r>
    </w:p>
    <w:p w14:paraId="7D2BF5E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22DA8B" w14:textId="77777777" w:rsidR="004B19D7" w:rsidRPr="008F5532" w:rsidRDefault="004B19D7" w:rsidP="004B19D7">
      <w:pPr>
        <w:pStyle w:val="ArticleHeading"/>
        <w:rPr>
          <w:color w:val="auto"/>
        </w:rPr>
      </w:pPr>
      <w:r w:rsidRPr="008F5532">
        <w:rPr>
          <w:color w:val="auto"/>
        </w:rPr>
        <w:t>ARTICLE 6B.  DECLINATION OF AUTOMOBILE LIABILITY INSURANCE.</w:t>
      </w:r>
    </w:p>
    <w:p w14:paraId="5C26CA14" w14:textId="77777777" w:rsidR="004B19D7" w:rsidRPr="008F5532" w:rsidRDefault="004B19D7" w:rsidP="004B19D7">
      <w:pPr>
        <w:pStyle w:val="ArticleHeading"/>
        <w:rPr>
          <w:rFonts w:ascii="MingLiU-ExtB" w:eastAsia="MingLiU-ExtB" w:hAnsi="WP TypographicSymbols" w:cs="MingLiU-ExtB"/>
          <w:bCs/>
          <w:color w:val="auto"/>
        </w:rPr>
        <w:sectPr w:rsidR="004B19D7" w:rsidRPr="008F5532" w:rsidSect="004B19D7">
          <w:type w:val="continuous"/>
          <w:pgSz w:w="12240" w:h="15840"/>
          <w:pgMar w:top="1440" w:right="1440" w:bottom="720" w:left="1440" w:header="720" w:footer="720" w:gutter="0"/>
          <w:lnNumType w:countBy="1" w:restart="newSection"/>
          <w:cols w:space="720"/>
          <w:noEndnote/>
          <w:titlePg/>
          <w:docGrid w:linePitch="326"/>
        </w:sectPr>
      </w:pPr>
    </w:p>
    <w:p w14:paraId="57235B53" w14:textId="77777777" w:rsidR="004B19D7" w:rsidRPr="008F5532" w:rsidRDefault="004B19D7" w:rsidP="004B19D7">
      <w:pPr>
        <w:pStyle w:val="SectionHeading"/>
        <w:rPr>
          <w:color w:val="auto"/>
        </w:rPr>
      </w:pPr>
      <w:r w:rsidRPr="008F5532">
        <w:rPr>
          <w:rFonts w:ascii="Cambria" w:hAnsi="Cambria" w:cs="Cambria"/>
          <w:color w:val="auto"/>
        </w:rPr>
        <w:t>§</w:t>
      </w:r>
      <w:r w:rsidRPr="008F5532">
        <w:rPr>
          <w:color w:val="auto"/>
        </w:rPr>
        <w:t>33-6B-3.  Declinations; prohibited reasons.</w:t>
      </w:r>
    </w:p>
    <w:p w14:paraId="027354E0" w14:textId="77777777" w:rsidR="004B19D7" w:rsidRPr="008F5532" w:rsidRDefault="004B19D7" w:rsidP="004B19D7">
      <w:pPr>
        <w:pStyle w:val="SectionBody"/>
        <w:rPr>
          <w:color w:val="auto"/>
        </w:rPr>
      </w:pPr>
      <w:r w:rsidRPr="008F5532">
        <w:rPr>
          <w:color w:val="auto"/>
        </w:rPr>
        <w:t>The declination of an application for a private passenger policy of automobile liability insurance by an insurer, agent or broker is prohibited if the declination is:</w:t>
      </w:r>
    </w:p>
    <w:p w14:paraId="1D8BC110" w14:textId="77777777" w:rsidR="004B19D7" w:rsidRPr="008F5532" w:rsidRDefault="004B19D7" w:rsidP="004B19D7">
      <w:pPr>
        <w:pStyle w:val="SectionBody"/>
        <w:rPr>
          <w:color w:val="auto"/>
        </w:rPr>
      </w:pPr>
      <w:r w:rsidRPr="008F5532">
        <w:rPr>
          <w:strike/>
          <w:color w:val="auto"/>
        </w:rPr>
        <w:t>(a)</w:t>
      </w:r>
      <w:r w:rsidRPr="008F5532">
        <w:rPr>
          <w:color w:val="auto"/>
        </w:rPr>
        <w:t xml:space="preserve"> </w:t>
      </w:r>
      <w:r w:rsidRPr="008F5532">
        <w:rPr>
          <w:color w:val="auto"/>
          <w:u w:val="single"/>
        </w:rPr>
        <w:t>(1)</w:t>
      </w:r>
      <w:r w:rsidRPr="008F5532">
        <w:rPr>
          <w:color w:val="auto"/>
        </w:rPr>
        <w:t xml:space="preserve"> Based upon the race, religion, nationality or ethnic group, of the applicant or named insured;</w:t>
      </w:r>
    </w:p>
    <w:p w14:paraId="157A3253" w14:textId="77777777" w:rsidR="004B19D7" w:rsidRPr="008F5532" w:rsidRDefault="004B19D7" w:rsidP="004B19D7">
      <w:pPr>
        <w:pStyle w:val="SectionBody"/>
        <w:rPr>
          <w:color w:val="auto"/>
        </w:rPr>
      </w:pPr>
      <w:r w:rsidRPr="008F5532">
        <w:rPr>
          <w:strike/>
          <w:color w:val="auto"/>
        </w:rPr>
        <w:t>(b)</w:t>
      </w:r>
      <w:r w:rsidRPr="008F5532">
        <w:rPr>
          <w:color w:val="auto"/>
        </w:rPr>
        <w:t xml:space="preserve"> </w:t>
      </w:r>
      <w:r w:rsidRPr="008F5532">
        <w:rPr>
          <w:color w:val="auto"/>
          <w:u w:val="single"/>
        </w:rPr>
        <w:t>(2)</w:t>
      </w:r>
      <w:r w:rsidRPr="008F5532">
        <w:rPr>
          <w:color w:val="auto"/>
        </w:rPr>
        <w:t xml:space="preserve"> Based solely upon the lawful occupation or profession of the applicant or named insured, unless the decision is for a business purpose that is not a mere pretext for unfair discrimination:  </w:t>
      </w:r>
      <w:r w:rsidRPr="008F5532">
        <w:rPr>
          <w:i/>
          <w:iCs/>
          <w:color w:val="auto"/>
        </w:rPr>
        <w:t>Provided,</w:t>
      </w:r>
      <w:r w:rsidRPr="008F5532">
        <w:rPr>
          <w:color w:val="auto"/>
        </w:rPr>
        <w:t xml:space="preserve"> That this provision does not apply to any insurer, agent or broker that limits its market to one lawful occupation or profession or to several related lawful occupations or professions;</w:t>
      </w:r>
    </w:p>
    <w:p w14:paraId="0BE9446A" w14:textId="77777777" w:rsidR="004B19D7" w:rsidRPr="008F5532" w:rsidRDefault="004B19D7" w:rsidP="004B19D7">
      <w:pPr>
        <w:pStyle w:val="SectionBody"/>
        <w:rPr>
          <w:color w:val="auto"/>
        </w:rPr>
      </w:pPr>
      <w:r w:rsidRPr="008F5532">
        <w:rPr>
          <w:strike/>
          <w:color w:val="auto"/>
        </w:rPr>
        <w:t>(c)</w:t>
      </w:r>
      <w:r w:rsidRPr="008F5532">
        <w:rPr>
          <w:color w:val="auto"/>
        </w:rPr>
        <w:t xml:space="preserve"> </w:t>
      </w:r>
      <w:r w:rsidRPr="008F5532">
        <w:rPr>
          <w:color w:val="auto"/>
          <w:u w:val="single"/>
        </w:rPr>
        <w:t>(3)</w:t>
      </w:r>
      <w:r w:rsidRPr="008F5532">
        <w:rPr>
          <w:color w:val="auto"/>
        </w:rPr>
        <w:t xml:space="preserve"> Based upon the principal location of the insured motor vehicle unless the decision is for a business purpose which is not a mere pretext for unfair discrimination;</w:t>
      </w:r>
    </w:p>
    <w:p w14:paraId="0EF25B12" w14:textId="77777777" w:rsidR="004B19D7" w:rsidRPr="008F5532" w:rsidRDefault="004B19D7" w:rsidP="004B19D7">
      <w:pPr>
        <w:pStyle w:val="SectionBody"/>
        <w:rPr>
          <w:color w:val="auto"/>
        </w:rPr>
      </w:pPr>
      <w:r w:rsidRPr="008F5532">
        <w:rPr>
          <w:strike/>
          <w:color w:val="auto"/>
        </w:rPr>
        <w:t>(d)</w:t>
      </w:r>
      <w:r w:rsidRPr="008F5532">
        <w:rPr>
          <w:color w:val="auto"/>
        </w:rPr>
        <w:t xml:space="preserve"> </w:t>
      </w:r>
      <w:r w:rsidRPr="008F5532">
        <w:rPr>
          <w:color w:val="auto"/>
          <w:u w:val="single"/>
        </w:rPr>
        <w:t>(4)</w:t>
      </w:r>
      <w:r w:rsidRPr="008F5532">
        <w:rPr>
          <w:color w:val="auto"/>
        </w:rPr>
        <w:t xml:space="preserve"> Based solely upon the age, sex or marital status of an applicant or an insured, except that this subsection does not prohibit rating differentials based on age, sex or marital status;</w:t>
      </w:r>
    </w:p>
    <w:p w14:paraId="029C7CBD" w14:textId="77777777" w:rsidR="004B19D7" w:rsidRPr="008F5532" w:rsidRDefault="004B19D7" w:rsidP="004B19D7">
      <w:pPr>
        <w:pStyle w:val="SectionBody"/>
        <w:rPr>
          <w:color w:val="auto"/>
        </w:rPr>
      </w:pPr>
      <w:r w:rsidRPr="008F5532">
        <w:rPr>
          <w:strike/>
          <w:color w:val="auto"/>
        </w:rPr>
        <w:t>(e)</w:t>
      </w:r>
      <w:r w:rsidRPr="008F5532">
        <w:rPr>
          <w:color w:val="auto"/>
        </w:rPr>
        <w:t xml:space="preserve"> </w:t>
      </w:r>
      <w:r w:rsidRPr="008F5532">
        <w:rPr>
          <w:color w:val="auto"/>
          <w:u w:val="single"/>
        </w:rPr>
        <w:t>(5)</w:t>
      </w:r>
      <w:r w:rsidRPr="008F5532">
        <w:rPr>
          <w:color w:val="auto"/>
        </w:rPr>
        <w:t xml:space="preserve"> Based upon the fact that the applicant has previously obtained insurance coverage with a substandard insurance carrier;</w:t>
      </w:r>
    </w:p>
    <w:p w14:paraId="4869FECE" w14:textId="77777777" w:rsidR="004B19D7" w:rsidRPr="008F5532" w:rsidRDefault="004B19D7" w:rsidP="004B19D7">
      <w:pPr>
        <w:pStyle w:val="SectionBody"/>
        <w:rPr>
          <w:color w:val="auto"/>
        </w:rPr>
      </w:pPr>
      <w:r w:rsidRPr="008F5532">
        <w:rPr>
          <w:strike/>
          <w:color w:val="auto"/>
        </w:rPr>
        <w:t>(f)</w:t>
      </w:r>
      <w:r w:rsidRPr="008F5532">
        <w:rPr>
          <w:color w:val="auto"/>
        </w:rPr>
        <w:t xml:space="preserve"> </w:t>
      </w:r>
      <w:r w:rsidRPr="008F5532">
        <w:rPr>
          <w:color w:val="auto"/>
          <w:u w:val="single"/>
        </w:rPr>
        <w:t>(6)</w:t>
      </w:r>
      <w:r w:rsidRPr="008F5532">
        <w:rPr>
          <w:color w:val="auto"/>
        </w:rPr>
        <w:t xml:space="preserve"> Based upon the fact that the applicant has not previously been insured;</w:t>
      </w:r>
    </w:p>
    <w:p w14:paraId="2560FBC2" w14:textId="77777777" w:rsidR="004B19D7" w:rsidRPr="008F5532" w:rsidRDefault="004B19D7" w:rsidP="004B19D7">
      <w:pPr>
        <w:pStyle w:val="SectionBody"/>
        <w:rPr>
          <w:color w:val="auto"/>
        </w:rPr>
      </w:pPr>
      <w:r w:rsidRPr="008F5532">
        <w:rPr>
          <w:strike/>
          <w:color w:val="auto"/>
        </w:rPr>
        <w:lastRenderedPageBreak/>
        <w:t>(g)</w:t>
      </w:r>
      <w:r w:rsidRPr="008F5532">
        <w:rPr>
          <w:color w:val="auto"/>
        </w:rPr>
        <w:t xml:space="preserve"> </w:t>
      </w:r>
      <w:r w:rsidRPr="008F5532">
        <w:rPr>
          <w:color w:val="auto"/>
          <w:u w:val="single"/>
        </w:rPr>
        <w:t>(7)</w:t>
      </w:r>
      <w:r w:rsidRPr="008F5532">
        <w:rPr>
          <w:color w:val="auto"/>
        </w:rPr>
        <w:t xml:space="preserve"> Based upon the fact that the applicant did not have insurance coverage for a period of time prior to the application;</w:t>
      </w:r>
    </w:p>
    <w:p w14:paraId="14A70092" w14:textId="77777777" w:rsidR="004B19D7" w:rsidRPr="008F5532" w:rsidRDefault="004B19D7" w:rsidP="004B19D7">
      <w:pPr>
        <w:pStyle w:val="SectionBody"/>
        <w:rPr>
          <w:color w:val="auto"/>
        </w:rPr>
      </w:pPr>
      <w:r w:rsidRPr="008F5532">
        <w:rPr>
          <w:strike/>
          <w:color w:val="auto"/>
        </w:rPr>
        <w:t>(h)</w:t>
      </w:r>
      <w:r w:rsidRPr="008F5532">
        <w:rPr>
          <w:color w:val="auto"/>
        </w:rPr>
        <w:t xml:space="preserve"> </w:t>
      </w:r>
      <w:r w:rsidRPr="008F5532">
        <w:rPr>
          <w:color w:val="auto"/>
          <w:u w:val="single"/>
        </w:rPr>
        <w:t>(8)</w:t>
      </w:r>
      <w:r w:rsidRPr="008F5532">
        <w:rPr>
          <w:color w:val="auto"/>
        </w:rPr>
        <w:t xml:space="preserve"> Based upon the fact that the applicant or named insured previously obtained insurance coverage through a residual market insurance mechanism;</w:t>
      </w:r>
    </w:p>
    <w:p w14:paraId="65CD9244" w14:textId="77777777" w:rsidR="004B19D7" w:rsidRPr="008F5532" w:rsidRDefault="004B19D7" w:rsidP="004B19D7">
      <w:pPr>
        <w:pStyle w:val="SectionBody"/>
        <w:rPr>
          <w:color w:val="auto"/>
        </w:rPr>
      </w:pPr>
      <w:r w:rsidRPr="008F5532">
        <w:rPr>
          <w:strike/>
          <w:color w:val="auto"/>
        </w:rPr>
        <w:t>(i)</w:t>
      </w:r>
      <w:r w:rsidRPr="008F5532">
        <w:rPr>
          <w:color w:val="auto"/>
        </w:rPr>
        <w:t xml:space="preserve"> </w:t>
      </w:r>
      <w:r w:rsidRPr="008F5532">
        <w:rPr>
          <w:color w:val="auto"/>
          <w:u w:val="single"/>
        </w:rPr>
        <w:t>(9)</w:t>
      </w:r>
      <w:r w:rsidRPr="008F5532">
        <w:rPr>
          <w:color w:val="auto"/>
        </w:rPr>
        <w:t xml:space="preserve"> Based upon the fact that another insurer previously declined to insure the applicant or terminated an existing policy in which the applicant was the named insured;</w:t>
      </w:r>
    </w:p>
    <w:p w14:paraId="1A712182" w14:textId="77777777" w:rsidR="004B19D7" w:rsidRPr="008F5532" w:rsidRDefault="004B19D7" w:rsidP="004B19D7">
      <w:pPr>
        <w:pStyle w:val="SectionBody"/>
        <w:rPr>
          <w:color w:val="auto"/>
        </w:rPr>
      </w:pPr>
      <w:r w:rsidRPr="008F5532">
        <w:rPr>
          <w:strike/>
          <w:color w:val="auto"/>
        </w:rPr>
        <w:t>(j)</w:t>
      </w:r>
      <w:r w:rsidRPr="008F5532">
        <w:rPr>
          <w:color w:val="auto"/>
        </w:rPr>
        <w:t xml:space="preserve"> </w:t>
      </w:r>
      <w:r w:rsidRPr="008F5532">
        <w:rPr>
          <w:color w:val="auto"/>
          <w:u w:val="single"/>
        </w:rPr>
        <w:t>(10)</w:t>
      </w:r>
      <w:r w:rsidRPr="008F5532">
        <w:rPr>
          <w:color w:val="auto"/>
        </w:rPr>
        <w:t xml:space="preserve"> Based solely upon an adverse credit report or adverse credit scoring;</w:t>
      </w:r>
    </w:p>
    <w:p w14:paraId="011F33CC" w14:textId="6993429A" w:rsidR="004B19D7" w:rsidRPr="008F5532" w:rsidRDefault="004B19D7" w:rsidP="004B19D7">
      <w:pPr>
        <w:pStyle w:val="SectionBody"/>
        <w:rPr>
          <w:color w:val="auto"/>
        </w:rPr>
      </w:pPr>
      <w:r w:rsidRPr="008F5532">
        <w:rPr>
          <w:color w:val="auto"/>
          <w:u w:val="single"/>
        </w:rPr>
        <w:t xml:space="preserve">(11) Based, in any part, upon the number of inquiries </w:t>
      </w:r>
      <w:r w:rsidR="00BB449A">
        <w:rPr>
          <w:color w:val="auto"/>
          <w:u w:val="single"/>
        </w:rPr>
        <w:t>for</w:t>
      </w:r>
      <w:r w:rsidRPr="008F5532">
        <w:rPr>
          <w:color w:val="auto"/>
          <w:u w:val="single"/>
        </w:rPr>
        <w:t xml:space="preserve"> a credit report</w:t>
      </w:r>
      <w:r w:rsidR="00BB449A">
        <w:rPr>
          <w:color w:val="auto"/>
          <w:u w:val="single"/>
        </w:rPr>
        <w:t xml:space="preserve"> or</w:t>
      </w:r>
      <w:r w:rsidRPr="008F5532">
        <w:rPr>
          <w:color w:val="auto"/>
          <w:u w:val="single"/>
        </w:rPr>
        <w:t xml:space="preserve"> credit score report or upon any information contained in any of these reports, the accuracy of which is disputed by the applicant; and</w:t>
      </w:r>
    </w:p>
    <w:p w14:paraId="2512DC19" w14:textId="77777777" w:rsidR="004B19D7" w:rsidRPr="008F5532" w:rsidRDefault="004B19D7" w:rsidP="004B19D7">
      <w:pPr>
        <w:pStyle w:val="SectionBody"/>
        <w:rPr>
          <w:color w:val="auto"/>
        </w:rPr>
      </w:pPr>
      <w:r w:rsidRPr="008F5532">
        <w:rPr>
          <w:color w:val="auto"/>
          <w:u w:val="single"/>
        </w:rPr>
        <w:t>(12) Nothing in this section may be construed to prohibit an insurer, agent or broker from using legitimate, documented, underwriting data in making their own independent risk assessment of an applicant for insurance.</w:t>
      </w:r>
    </w:p>
    <w:p w14:paraId="5F926D65" w14:textId="77777777" w:rsidR="004B19D7" w:rsidRPr="008F5532" w:rsidRDefault="004B19D7" w:rsidP="004B19D7">
      <w:pPr>
        <w:jc w:val="both"/>
        <w:rPr>
          <w:rFonts w:ascii="MingLiU-ExtB" w:eastAsia="MingLiU-ExtB" w:cs="MingLiU-ExtB"/>
          <w:b/>
          <w:bCs/>
          <w:color w:val="auto"/>
        </w:rPr>
        <w:sectPr w:rsidR="004B19D7" w:rsidRPr="008F5532" w:rsidSect="004B19D7">
          <w:type w:val="continuous"/>
          <w:pgSz w:w="12240" w:h="15840"/>
          <w:pgMar w:top="1440" w:right="1440" w:bottom="720" w:left="1440" w:header="720" w:footer="720" w:gutter="0"/>
          <w:lnNumType w:countBy="1" w:restart="newSection"/>
          <w:cols w:space="720"/>
          <w:noEndnote/>
          <w:titlePg/>
          <w:docGrid w:linePitch="326"/>
        </w:sectPr>
      </w:pPr>
    </w:p>
    <w:p w14:paraId="0F7B9785" w14:textId="77777777" w:rsidR="004B19D7" w:rsidRPr="008F5532" w:rsidRDefault="004B19D7" w:rsidP="004B19D7">
      <w:pPr>
        <w:pStyle w:val="ArticleHeading"/>
        <w:rPr>
          <w:color w:val="auto"/>
        </w:rPr>
      </w:pPr>
      <w:r w:rsidRPr="008F5532">
        <w:rPr>
          <w:color w:val="auto"/>
        </w:rPr>
        <w:t>ARTICLE 20.  RATES AND RATING ORGANIZATIONS.</w:t>
      </w:r>
    </w:p>
    <w:p w14:paraId="1370809E" w14:textId="77777777" w:rsidR="004B19D7" w:rsidRPr="008F5532" w:rsidRDefault="004B19D7" w:rsidP="004B19D7">
      <w:pPr>
        <w:jc w:val="both"/>
        <w:rPr>
          <w:rFonts w:ascii="MingLiU-ExtB" w:eastAsia="MingLiU-ExtB" w:hAnsi="WP TypographicSymbols" w:cs="MingLiU-ExtB"/>
          <w:b/>
          <w:bCs/>
          <w:color w:val="auto"/>
        </w:rPr>
        <w:sectPr w:rsidR="004B19D7" w:rsidRPr="008F5532" w:rsidSect="004B19D7">
          <w:type w:val="continuous"/>
          <w:pgSz w:w="12240" w:h="15840"/>
          <w:pgMar w:top="1440" w:right="1440" w:bottom="720" w:left="1440" w:header="720" w:footer="720" w:gutter="0"/>
          <w:lnNumType w:countBy="1" w:restart="newSection"/>
          <w:cols w:space="720"/>
          <w:noEndnote/>
          <w:titlePg/>
          <w:docGrid w:linePitch="326"/>
        </w:sectPr>
      </w:pPr>
    </w:p>
    <w:p w14:paraId="5E02E2D2" w14:textId="77777777" w:rsidR="004B19D7" w:rsidRPr="008F5532" w:rsidRDefault="004B19D7" w:rsidP="004B19D7">
      <w:pPr>
        <w:pStyle w:val="SectionHeading"/>
        <w:rPr>
          <w:color w:val="auto"/>
        </w:rPr>
      </w:pPr>
      <w:r w:rsidRPr="008F5532">
        <w:rPr>
          <w:rFonts w:ascii="Cambria" w:hAnsi="Cambria" w:cs="Cambria"/>
          <w:color w:val="auto"/>
        </w:rPr>
        <w:t>§</w:t>
      </w:r>
      <w:r w:rsidRPr="008F5532">
        <w:rPr>
          <w:color w:val="auto"/>
        </w:rPr>
        <w:t>33-20-3.  Ratemaking.</w:t>
      </w:r>
    </w:p>
    <w:p w14:paraId="2FC47FB0"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All rates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are</w:t>
      </w:r>
      <w:r w:rsidRPr="008F5532">
        <w:rPr>
          <w:rFonts w:eastAsia="MingLiU-ExtB" w:cs="Arial"/>
          <w:color w:val="auto"/>
        </w:rPr>
        <w:t xml:space="preserve"> made in accordance with the following provisions:</w:t>
      </w:r>
    </w:p>
    <w:p w14:paraId="20633DE9"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(a) Due consideration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w:t>
      </w:r>
    </w:p>
    <w:p w14:paraId="1A4AC540"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(b) Rates may not be excessive, inadequate or unfairly discriminatory.</w:t>
      </w:r>
    </w:p>
    <w:p w14:paraId="417DE52B"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(c) Rates for casualty and surety insurance to which this article applies shall also be subject to the following provisions:</w:t>
      </w:r>
    </w:p>
    <w:p w14:paraId="15CD6FF3"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(1) The systems of expense provisions included in the rates for use by any insurer or group of insurers may differ from those of other insurers or groups of insurers to reflect the requirements of the operating methods of any such insurer or group with respect to any kind of insurance or with respect to any subdivision or combination thereof for which subdivision or combination separate expense provisions are applicable.</w:t>
      </w:r>
    </w:p>
    <w:p w14:paraId="054C8224"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(2) Risks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are</w:t>
      </w:r>
      <w:r w:rsidRPr="008F5532">
        <w:rPr>
          <w:rFonts w:eastAsia="MingLiU-ExtB" w:cs="Arial"/>
          <w:color w:val="auto"/>
        </w:rPr>
        <w:t xml:space="preserve"> grouped by classifications and by territorial areas for the establishment of rates and minimum premiums.  Classification of rates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are</w:t>
      </w:r>
      <w:r w:rsidRPr="008F5532">
        <w:rPr>
          <w:rFonts w:eastAsia="MingLiU-ExtB" w:cs="Arial"/>
          <w:color w:val="auto"/>
        </w:rPr>
        <w:t xml:space="preserve"> modified to produce rates for individual risks in a territorial area in accordance with rating plans which establish standards for measuring variations in hazards or expense provisions, or both.  Such standards may measure any differences among risks that can be demonstrated to have a probable effect upon losses or expenses:  </w:t>
      </w:r>
      <w:r w:rsidRPr="008F5532">
        <w:rPr>
          <w:rFonts w:eastAsia="MingLiU-ExtB" w:cs="Arial"/>
          <w:i/>
          <w:iCs/>
          <w:color w:val="auto"/>
        </w:rPr>
        <w:t>Provided,</w:t>
      </w:r>
      <w:r w:rsidRPr="008F5532">
        <w:rPr>
          <w:rFonts w:eastAsia="MingLiU-ExtB" w:cs="Arial"/>
          <w:color w:val="auto"/>
        </w:rPr>
        <w:t xml:space="preserve"> That such standards shall include the establishment of at least seven territorial rate areas within the state:  </w:t>
      </w:r>
      <w:r w:rsidRPr="008F5532">
        <w:rPr>
          <w:rFonts w:eastAsia="MingLiU-ExtB" w:cs="Arial"/>
          <w:i/>
          <w:iCs/>
          <w:color w:val="auto"/>
        </w:rPr>
        <w:t>Provided, however,</w:t>
      </w:r>
      <w:r w:rsidRPr="008F5532">
        <w:rPr>
          <w:rFonts w:eastAsia="MingLiU-ExtB" w:cs="Arial"/>
          <w:color w:val="auto"/>
        </w:rPr>
        <w:t xml:space="preserve"> That such territorial rate established by any insurer or group of insurers may differ from those of other insurers or group of insurers.</w:t>
      </w:r>
    </w:p>
    <w:p w14:paraId="63294FC8"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(3) Due consideration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given to such factors as expense, management, individual experience, underwriting judgment, degree or nature of hazard or any other reasonable considerations, provided such factors apply to all risks under the same or substantially the same circumstances or conditions.</w:t>
      </w:r>
    </w:p>
    <w:p w14:paraId="42E6880B" w14:textId="77777777" w:rsidR="004B19D7" w:rsidRPr="008F5532" w:rsidRDefault="004B19D7" w:rsidP="004B19D7">
      <w:pPr>
        <w:ind w:firstLine="720"/>
        <w:jc w:val="both"/>
        <w:rPr>
          <w:rFonts w:eastAsia="MingLiU-ExtB" w:cs="Arial"/>
          <w:color w:val="auto"/>
        </w:rPr>
      </w:pPr>
      <w:r w:rsidRPr="008F5532">
        <w:rPr>
          <w:rFonts w:eastAsia="MingLiU-ExtB" w:cs="Arial"/>
          <w:color w:val="auto"/>
          <w:u w:val="single"/>
        </w:rPr>
        <w:t>(4) In the case of any homeowners or automobile liability policy, credit scoring may not be considered as a factor to calculate rates.</w:t>
      </w:r>
    </w:p>
    <w:p w14:paraId="20FDE66A"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(d) Rates for fire and marine insurance to which this article applies shall also be subject to the following provisions:</w:t>
      </w:r>
    </w:p>
    <w:p w14:paraId="477D30DF"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(1) Manual, minimum, class rates, rating schedules or rating plans shall be made and adopted, except in the case of specific inland marine rates on risks specially rated.</w:t>
      </w:r>
    </w:p>
    <w:p w14:paraId="28C8B5FA"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(2) Due consideration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given to the conflagration hazard and in the case of fire insurance rates, consideration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given to the experience of the fire insurance business during a period of not less than the most recent five-year period for which such experience is available.</w:t>
      </w:r>
    </w:p>
    <w:p w14:paraId="36F9FEEE"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(e) Rates for title insurance to which this article applies shall also be subject to the following provisions:</w:t>
      </w:r>
    </w:p>
    <w:p w14:paraId="2FB5B266"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(1) Title insurance rates shall be reasonable and adequate for the class of risks to which they apply.  Rates may not be unfairly discriminatory between risks involving essentially the same hazards and expense elements.  The rates may be fixed in an amount sufficient to furnish a reasonable margin for profit after provisions to account for:  (i) Probable losses as indicated by experience within and without this state; (ii) exposure to loss under policies; (iii) allocations to reserves; (iv) costs participating insurance; (v) operating costs; and (vi) other items of expense fairly attributable to the operation of a title insurance business.</w:t>
      </w:r>
    </w:p>
    <w:p w14:paraId="6889C6E6"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(2) (A) Policies may be grouped into classes for the establishment of rates.  A title insurance policy that is unusually hazardous to the title insurance company because of an alleged defect or irregularity in the title insured or because of uncertainty regarding the proper interpretation or application of the law involved may be classified separately according to the facts of each case.</w:t>
      </w:r>
    </w:p>
    <w:p w14:paraId="08A04937"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(B) Title insurance companies shall file separate rate schedules for commercial and noncommercial risks.  The Insurance Commissioner shall promulgate rules regarding the requirements of this subsection which shall give due consideration to the nature of commercial transactions and the need for greater protections for consumers in noncommercial transactions.</w:t>
      </w:r>
    </w:p>
    <w:p w14:paraId="0825666D"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(3) Title insurance rates may not include charges for abstracting, record searching, certificates regarding the record title, escrow services, closing services and other related services that may be offered or furnished or the cost and expenses of examinations of titles.</w:t>
      </w:r>
    </w:p>
    <w:p w14:paraId="1DD713DB"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(f) Except to the extent necessary to meet the provisions of subdivisions (b) and (c) of this section, uniformity among insurers in any matters within the scope of this section is neither required nor prohibited.</w:t>
      </w:r>
    </w:p>
    <w:p w14:paraId="5F216B22"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(g) Rates made in accordance with this section may be used subject to the provisions of this article.</w:t>
      </w:r>
    </w:p>
    <w:p w14:paraId="2017E87F" w14:textId="77777777" w:rsidR="004B19D7" w:rsidRPr="008F5532" w:rsidRDefault="004B19D7" w:rsidP="004B19D7">
      <w:pPr>
        <w:jc w:val="both"/>
        <w:rPr>
          <w:rFonts w:ascii="MingLiU-ExtB" w:eastAsia="MingLiU-ExtB" w:hAnsi="WP TypographicSymbols" w:cs="MingLiU-ExtB"/>
          <w:b/>
          <w:bCs/>
          <w:color w:val="auto"/>
        </w:rPr>
        <w:sectPr w:rsidR="004B19D7" w:rsidRPr="008F5532" w:rsidSect="004B19D7">
          <w:type w:val="continuous"/>
          <w:pgSz w:w="12240" w:h="15840"/>
          <w:pgMar w:top="1440" w:right="1440" w:bottom="720" w:left="1440" w:header="720" w:footer="720" w:gutter="0"/>
          <w:lnNumType w:countBy="1" w:restart="newSection"/>
          <w:cols w:space="720"/>
          <w:noEndnote/>
          <w:titlePg/>
          <w:docGrid w:linePitch="326"/>
        </w:sectPr>
      </w:pPr>
    </w:p>
    <w:p w14:paraId="503F0E40" w14:textId="77777777" w:rsidR="004B19D7" w:rsidRPr="008F5532" w:rsidRDefault="004B19D7" w:rsidP="004B19D7">
      <w:pPr>
        <w:pStyle w:val="SectionHeading"/>
        <w:rPr>
          <w:color w:val="auto"/>
        </w:rPr>
      </w:pPr>
      <w:r w:rsidRPr="008F5532">
        <w:rPr>
          <w:rFonts w:ascii="Cambria" w:hAnsi="Cambria" w:cs="Cambria"/>
          <w:color w:val="auto"/>
        </w:rPr>
        <w:t>§</w:t>
      </w:r>
      <w:r w:rsidRPr="008F5532">
        <w:rPr>
          <w:color w:val="auto"/>
        </w:rPr>
        <w:t>33-20-5.  Disapproval of filings.</w:t>
      </w:r>
    </w:p>
    <w:p w14:paraId="1E129D58"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(a) If within the waiting period or any extension </w:t>
      </w:r>
      <w:r w:rsidRPr="008F5532">
        <w:rPr>
          <w:rFonts w:eastAsia="MingLiU-ExtB" w:cs="Arial"/>
          <w:strike/>
          <w:color w:val="auto"/>
        </w:rPr>
        <w:t>thereof</w:t>
      </w:r>
      <w:r w:rsidRPr="008F5532">
        <w:rPr>
          <w:rFonts w:eastAsia="MingLiU-ExtB" w:cs="Arial"/>
          <w:color w:val="auto"/>
        </w:rPr>
        <w:t xml:space="preserve"> </w:t>
      </w:r>
      <w:r w:rsidRPr="008F5532">
        <w:rPr>
          <w:rFonts w:eastAsia="MingLiU-ExtB" w:cs="Arial"/>
          <w:color w:val="auto"/>
          <w:u w:val="single"/>
        </w:rPr>
        <w:t>of it</w:t>
      </w:r>
      <w:r w:rsidRPr="008F5532">
        <w:rPr>
          <w:rFonts w:eastAsia="MingLiU-ExtB" w:cs="Arial"/>
          <w:color w:val="auto"/>
        </w:rPr>
        <w:t xml:space="preserve"> as provided in </w:t>
      </w:r>
      <w:r w:rsidRPr="008F5532">
        <w:rPr>
          <w:rFonts w:ascii="Cambria" w:hAnsi="Cambria" w:cs="Cambria"/>
          <w:color w:val="auto"/>
        </w:rPr>
        <w:t>§</w:t>
      </w:r>
      <w:r w:rsidRPr="008F5532">
        <w:rPr>
          <w:color w:val="auto"/>
        </w:rPr>
        <w:t xml:space="preserve">33-20-4(e) </w:t>
      </w:r>
      <w:r w:rsidRPr="008F5532">
        <w:rPr>
          <w:rFonts w:eastAsia="MingLiU-ExtB" w:cs="Arial"/>
          <w:color w:val="auto"/>
        </w:rPr>
        <w:t xml:space="preserve">of this code, the commissioner finds that a filing does not meet the requirements of this article, he </w:t>
      </w:r>
      <w:r w:rsidRPr="008F5532">
        <w:rPr>
          <w:rFonts w:eastAsia="MingLiU-ExtB" w:cs="Arial"/>
          <w:color w:val="auto"/>
          <w:u w:val="single"/>
        </w:rPr>
        <w:t>or she</w:t>
      </w:r>
      <w:r w:rsidRPr="008F5532">
        <w:rPr>
          <w:rFonts w:eastAsia="MingLiU-ExtB" w:cs="Arial"/>
          <w:color w:val="auto"/>
        </w:rPr>
        <w:t xml:space="preserve"> shall send to the insurer or rating organization which made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written notice of disapproval of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specifying therein in what respects he </w:t>
      </w:r>
      <w:r w:rsidRPr="008F5532">
        <w:rPr>
          <w:rFonts w:eastAsia="MingLiU-ExtB" w:cs="Arial"/>
          <w:color w:val="auto"/>
          <w:u w:val="single"/>
        </w:rPr>
        <w:t>or she</w:t>
      </w:r>
      <w:r w:rsidRPr="008F5532">
        <w:rPr>
          <w:rFonts w:eastAsia="MingLiU-ExtB" w:cs="Arial"/>
          <w:color w:val="auto"/>
        </w:rPr>
        <w:t xml:space="preserve"> finds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fails to meet the requirements of this article and stating that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shall not become effective.</w:t>
      </w:r>
    </w:p>
    <w:p w14:paraId="4B2B089E"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(b) If within 30 days after a special surety filing subject to </w:t>
      </w:r>
      <w:r w:rsidRPr="008F5532">
        <w:rPr>
          <w:rFonts w:ascii="Cambria" w:hAnsi="Cambria" w:cs="Cambria"/>
          <w:color w:val="auto"/>
        </w:rPr>
        <w:t>§</w:t>
      </w:r>
      <w:r w:rsidRPr="008F5532">
        <w:rPr>
          <w:color w:val="auto"/>
        </w:rPr>
        <w:t xml:space="preserve">33-20-4(f) </w:t>
      </w:r>
      <w:r w:rsidRPr="008F5532">
        <w:rPr>
          <w:rFonts w:eastAsia="MingLiU-ExtB" w:cs="Arial"/>
          <w:color w:val="auto"/>
        </w:rPr>
        <w:t xml:space="preserve">of this code or if within thirty days after a specific inland marine rate on a risk specially rated by a rating organization subject to </w:t>
      </w:r>
      <w:r w:rsidRPr="008F5532">
        <w:rPr>
          <w:rFonts w:ascii="Cambria" w:hAnsi="Cambria" w:cs="Cambria"/>
          <w:color w:val="auto"/>
        </w:rPr>
        <w:t>§</w:t>
      </w:r>
      <w:r w:rsidRPr="008F5532">
        <w:rPr>
          <w:color w:val="auto"/>
        </w:rPr>
        <w:t xml:space="preserve">33-20-4(g) </w:t>
      </w:r>
      <w:r w:rsidRPr="008F5532">
        <w:rPr>
          <w:rFonts w:eastAsia="MingLiU-ExtB" w:cs="Arial"/>
          <w:color w:val="auto"/>
        </w:rPr>
        <w:t xml:space="preserve">of this code has become effective, the commissioner finds that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does not meet the requirements of this article, he </w:t>
      </w:r>
      <w:r w:rsidRPr="008F5532">
        <w:rPr>
          <w:rFonts w:eastAsia="MingLiU-ExtB" w:cs="Arial"/>
          <w:color w:val="auto"/>
          <w:u w:val="single"/>
        </w:rPr>
        <w:t>or she</w:t>
      </w:r>
      <w:r w:rsidRPr="008F5532">
        <w:rPr>
          <w:rFonts w:eastAsia="MingLiU-ExtB" w:cs="Arial"/>
          <w:color w:val="auto"/>
        </w:rPr>
        <w:t xml:space="preserve"> shall send to the rating organization which made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written notice of disapproval of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specifying therein in what respects he </w:t>
      </w:r>
      <w:r w:rsidRPr="008F5532">
        <w:rPr>
          <w:rFonts w:eastAsia="MingLiU-ExtB" w:cs="Arial"/>
          <w:color w:val="auto"/>
          <w:u w:val="single"/>
        </w:rPr>
        <w:t>or she</w:t>
      </w:r>
      <w:r w:rsidRPr="008F5532">
        <w:rPr>
          <w:rFonts w:eastAsia="MingLiU-ExtB" w:cs="Arial"/>
          <w:color w:val="auto"/>
        </w:rPr>
        <w:t xml:space="preserve"> finds that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fails to meet the requirements of this article and stating when, within a reasonable period thereafter,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w:t>
      </w:r>
      <w:r w:rsidRPr="008F5532">
        <w:rPr>
          <w:rFonts w:eastAsia="MingLiU-ExtB" w:cs="Arial"/>
          <w:strike/>
          <w:color w:val="auto"/>
        </w:rPr>
        <w:t>shall be deemed</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no longer effective.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disapproval shall not affect any contract made or issued prior to the expiration of the period set forth in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notice.</w:t>
      </w:r>
    </w:p>
    <w:p w14:paraId="4CF67275"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(c) If at any time subsequent to the applicable review period provided </w:t>
      </w:r>
      <w:r w:rsidRPr="008F5532">
        <w:rPr>
          <w:rFonts w:eastAsia="MingLiU-ExtB" w:cs="Arial"/>
          <w:strike/>
          <w:color w:val="auto"/>
        </w:rPr>
        <w:t>for</w:t>
      </w:r>
      <w:r w:rsidRPr="008F5532">
        <w:rPr>
          <w:rFonts w:eastAsia="MingLiU-ExtB" w:cs="Arial"/>
          <w:color w:val="auto"/>
        </w:rPr>
        <w:t xml:space="preserve"> in subsection (a) or (b) of this section, the commissioner finds that a filing does not meet the requirements of this article, he </w:t>
      </w:r>
      <w:r w:rsidRPr="008F5532">
        <w:rPr>
          <w:rFonts w:eastAsia="MingLiU-ExtB" w:cs="Arial"/>
          <w:color w:val="auto"/>
          <w:u w:val="single"/>
        </w:rPr>
        <w:t>or she</w:t>
      </w:r>
      <w:r w:rsidRPr="008F5532">
        <w:rPr>
          <w:rFonts w:eastAsia="MingLiU-ExtB" w:cs="Arial"/>
          <w:color w:val="auto"/>
        </w:rPr>
        <w:t xml:space="preserve"> shall, after notice and hearing to every insurer and rating organization which made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issue an order specifying in what respects he </w:t>
      </w:r>
      <w:r w:rsidRPr="008F5532">
        <w:rPr>
          <w:rFonts w:eastAsia="MingLiU-ExtB" w:cs="Arial"/>
          <w:color w:val="auto"/>
          <w:u w:val="single"/>
        </w:rPr>
        <w:t>or she</w:t>
      </w:r>
      <w:r w:rsidRPr="008F5532">
        <w:rPr>
          <w:rFonts w:eastAsia="MingLiU-ExtB" w:cs="Arial"/>
          <w:color w:val="auto"/>
        </w:rPr>
        <w:t xml:space="preserve"> finds that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fails to meet the requirements of this article, and stating when, within a reasonable period thereafter,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w:t>
      </w:r>
      <w:r w:rsidRPr="008F5532">
        <w:rPr>
          <w:rFonts w:eastAsia="MingLiU-ExtB" w:cs="Arial"/>
          <w:strike/>
          <w:color w:val="auto"/>
        </w:rPr>
        <w:t>shall be deemed</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no longer effective.  Copies of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order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are</w:t>
      </w:r>
      <w:r w:rsidRPr="008F5532">
        <w:rPr>
          <w:rFonts w:eastAsia="MingLiU-ExtB" w:cs="Arial"/>
          <w:color w:val="auto"/>
        </w:rPr>
        <w:t xml:space="preserve"> sent to every </w:t>
      </w:r>
      <w:r w:rsidRPr="008F5532">
        <w:rPr>
          <w:rFonts w:eastAsia="MingLiU-ExtB" w:cs="Arial"/>
          <w:strike/>
          <w:color w:val="auto"/>
        </w:rPr>
        <w:t>such</w:t>
      </w:r>
      <w:r w:rsidRPr="008F5532">
        <w:rPr>
          <w:rFonts w:eastAsia="MingLiU-ExtB" w:cs="Arial"/>
          <w:color w:val="auto"/>
        </w:rPr>
        <w:t xml:space="preserve"> insurer and rating organization </w:t>
      </w:r>
      <w:r w:rsidRPr="008F5532">
        <w:rPr>
          <w:rFonts w:eastAsia="MingLiU-ExtB" w:cs="Arial"/>
          <w:color w:val="auto"/>
          <w:u w:val="single"/>
        </w:rPr>
        <w:t>which made the filing.</w:t>
      </w:r>
      <w:r w:rsidRPr="008F5532">
        <w:rPr>
          <w:rFonts w:eastAsia="MingLiU-ExtB" w:cs="Arial"/>
          <w:color w:val="auto"/>
        </w:rPr>
        <w:t xml:space="preserve">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order shall not affect any contract or policy made or issued prior to the expiration of the period set forth in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order.</w:t>
      </w:r>
    </w:p>
    <w:p w14:paraId="2591E346"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 xml:space="preserve">(d) Any person or organization aggrieved with respect to any filing which is in effect may demand a hearing thereon.  If, after </w:t>
      </w:r>
      <w:r w:rsidRPr="008F5532">
        <w:rPr>
          <w:rFonts w:eastAsia="MingLiU-ExtB" w:cs="Arial"/>
          <w:strike/>
          <w:color w:val="auto"/>
        </w:rPr>
        <w:t>such</w:t>
      </w:r>
      <w:r w:rsidRPr="008F5532">
        <w:rPr>
          <w:rFonts w:eastAsia="MingLiU-ExtB" w:cs="Arial"/>
          <w:color w:val="auto"/>
        </w:rPr>
        <w:t xml:space="preserve"> hearing, the commissioner finds that the filing does not meet the requirements of this article, he </w:t>
      </w:r>
      <w:r w:rsidRPr="008F5532">
        <w:rPr>
          <w:rFonts w:eastAsia="MingLiU-ExtB" w:cs="Arial"/>
          <w:color w:val="auto"/>
          <w:u w:val="single"/>
        </w:rPr>
        <w:t>or she</w:t>
      </w:r>
      <w:r w:rsidRPr="008F5532">
        <w:rPr>
          <w:rFonts w:eastAsia="MingLiU-ExtB" w:cs="Arial"/>
          <w:color w:val="auto"/>
        </w:rPr>
        <w:t xml:space="preserve"> shall issue an order specifying in what respects he </w:t>
      </w:r>
      <w:r w:rsidRPr="008F5532">
        <w:rPr>
          <w:rFonts w:eastAsia="MingLiU-ExtB" w:cs="Arial"/>
          <w:color w:val="auto"/>
          <w:u w:val="single"/>
        </w:rPr>
        <w:t>or she</w:t>
      </w:r>
      <w:r w:rsidRPr="008F5532">
        <w:rPr>
          <w:rFonts w:eastAsia="MingLiU-ExtB" w:cs="Arial"/>
          <w:color w:val="auto"/>
        </w:rPr>
        <w:t xml:space="preserve"> finds that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fails to meet the requirements of this article, and stating when, within a reasonable period thereafter,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shall be deemed no longer effective.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order shall not affect any contract or policy made or issued prior to the expiration of the period set forth in </w:t>
      </w:r>
      <w:r w:rsidRPr="008F5532">
        <w:rPr>
          <w:rFonts w:eastAsia="MingLiU-ExtB" w:cs="Arial"/>
          <w:strike/>
          <w:color w:val="auto"/>
        </w:rPr>
        <w:t>said</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order.</w:t>
      </w:r>
    </w:p>
    <w:p w14:paraId="68C8B611" w14:textId="77777777" w:rsidR="004B19D7" w:rsidRPr="008F5532" w:rsidRDefault="004B19D7" w:rsidP="004B19D7">
      <w:pPr>
        <w:ind w:firstLine="720"/>
        <w:jc w:val="both"/>
        <w:rPr>
          <w:rFonts w:eastAsia="MingLiU-ExtB" w:cs="Arial"/>
          <w:color w:val="auto"/>
        </w:rPr>
      </w:pPr>
      <w:r w:rsidRPr="008F5532">
        <w:rPr>
          <w:rFonts w:eastAsia="MingLiU-ExtB" w:cs="Arial"/>
          <w:color w:val="auto"/>
        </w:rPr>
        <w:t>(e) Any insurer or rating organization, in respect to any filing made by it which is not approved by the commissioner, may demand a hearing thereon.</w:t>
      </w:r>
    </w:p>
    <w:p w14:paraId="76FD8882" w14:textId="70518331" w:rsidR="004B19D7" w:rsidRPr="008F5532" w:rsidRDefault="004B19D7" w:rsidP="004B19D7">
      <w:pPr>
        <w:ind w:firstLine="720"/>
        <w:jc w:val="both"/>
        <w:rPr>
          <w:rFonts w:eastAsia="MingLiU-ExtB" w:cs="Arial"/>
          <w:color w:val="auto"/>
        </w:rPr>
      </w:pPr>
      <w:r w:rsidRPr="008F5532">
        <w:rPr>
          <w:rFonts w:eastAsia="MingLiU-ExtB" w:cs="Arial"/>
          <w:color w:val="auto"/>
        </w:rPr>
        <w:t xml:space="preserve">(f) No manual of classifications, rules, rating plans, or any modification of any of the foregoing which establishes standards for measuring variations in hazards or expense provisions, or both, in the case of casualty insurance to which this article applies and no manual, minimum, class rate, rating schedule, rating plan, rating rule or any modification of any of the foregoing, in the case of fire insurance to which this article applies, and which has been filed pursuant to the requirements of </w:t>
      </w:r>
      <w:r w:rsidRPr="008F5532">
        <w:rPr>
          <w:rFonts w:ascii="Cambria" w:hAnsi="Cambria" w:cs="Cambria"/>
          <w:color w:val="auto"/>
        </w:rPr>
        <w:t>§</w:t>
      </w:r>
      <w:r w:rsidRPr="008F5532">
        <w:rPr>
          <w:color w:val="auto"/>
        </w:rPr>
        <w:t xml:space="preserve">33-20-4 </w:t>
      </w:r>
      <w:r w:rsidRPr="008F5532">
        <w:rPr>
          <w:rFonts w:eastAsia="MingLiU-ExtB" w:cs="Arial"/>
          <w:color w:val="auto"/>
        </w:rPr>
        <w:t xml:space="preserve">of this code,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disapproved if the rates thereby produced meet the requirements of this article. </w:t>
      </w:r>
      <w:r w:rsidRPr="008F5532">
        <w:rPr>
          <w:rFonts w:eastAsia="MingLiU-ExtB" w:cs="Arial"/>
          <w:color w:val="auto"/>
          <w:u w:val="single"/>
        </w:rPr>
        <w:t xml:space="preserve">If a credit score is used as a factor in establishing a rating, only credit scores from a banking institution as defined in </w:t>
      </w:r>
      <w:r w:rsidRPr="008F5532">
        <w:rPr>
          <w:rFonts w:ascii="Cambria" w:hAnsi="Cambria" w:cs="Cambria"/>
          <w:color w:val="auto"/>
          <w:u w:val="single"/>
        </w:rPr>
        <w:t>§</w:t>
      </w:r>
      <w:r w:rsidRPr="008F5532">
        <w:rPr>
          <w:color w:val="auto"/>
          <w:u w:val="single"/>
        </w:rPr>
        <w:t xml:space="preserve">31A-1-2 </w:t>
      </w:r>
      <w:r w:rsidRPr="008F5532">
        <w:rPr>
          <w:rFonts w:eastAsia="MingLiU-ExtB" w:cs="Arial"/>
          <w:color w:val="auto"/>
          <w:u w:val="single"/>
        </w:rPr>
        <w:t>of this code may be used.</w:t>
      </w:r>
    </w:p>
    <w:p w14:paraId="1A855E16" w14:textId="669BF92E" w:rsidR="008736AA" w:rsidRPr="004B19D7" w:rsidRDefault="004B19D7" w:rsidP="004B19D7">
      <w:pPr>
        <w:ind w:firstLine="720"/>
        <w:jc w:val="both"/>
        <w:rPr>
          <w:rFonts w:eastAsia="MingLiU-ExtB" w:cs="Arial"/>
          <w:color w:val="auto"/>
        </w:rPr>
      </w:pPr>
      <w:r w:rsidRPr="008F5532">
        <w:rPr>
          <w:rFonts w:eastAsia="MingLiU-ExtB" w:cs="Arial"/>
          <w:color w:val="auto"/>
        </w:rPr>
        <w:t xml:space="preserve">(g) If, in the opinion of the commissioner, the rate or form filing made by an insurer is of such import that it will affect the public he </w:t>
      </w:r>
      <w:r w:rsidRPr="008F5532">
        <w:rPr>
          <w:rFonts w:eastAsia="MingLiU-ExtB" w:cs="Arial"/>
          <w:color w:val="auto"/>
          <w:u w:val="single"/>
        </w:rPr>
        <w:t>or she</w:t>
      </w:r>
      <w:r w:rsidRPr="008F5532">
        <w:rPr>
          <w:rFonts w:eastAsia="MingLiU-ExtB" w:cs="Arial"/>
          <w:color w:val="auto"/>
        </w:rPr>
        <w:t xml:space="preserve"> may, at his </w:t>
      </w:r>
      <w:r w:rsidRPr="008F5532">
        <w:rPr>
          <w:rFonts w:eastAsia="MingLiU-ExtB" w:cs="Arial"/>
          <w:color w:val="auto"/>
          <w:u w:val="single"/>
        </w:rPr>
        <w:t>or her</w:t>
      </w:r>
      <w:r w:rsidRPr="008F5532">
        <w:rPr>
          <w:rFonts w:eastAsia="MingLiU-ExtB" w:cs="Arial"/>
          <w:color w:val="auto"/>
        </w:rPr>
        <w:t xml:space="preserve"> discretion, issue notice to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insurer of a public hearing.  The notice of public hearing to the insurer making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form or rate filing </w:t>
      </w:r>
      <w:r w:rsidRPr="008F5532">
        <w:rPr>
          <w:rFonts w:eastAsia="MingLiU-ExtB" w:cs="Arial"/>
          <w:strike/>
          <w:color w:val="auto"/>
        </w:rPr>
        <w:t>shall be</w:t>
      </w:r>
      <w:r w:rsidRPr="008F5532">
        <w:rPr>
          <w:rFonts w:eastAsia="MingLiU-ExtB" w:cs="Arial"/>
          <w:color w:val="auto"/>
        </w:rPr>
        <w:t xml:space="preserve"> </w:t>
      </w:r>
      <w:r w:rsidRPr="008F5532">
        <w:rPr>
          <w:rFonts w:eastAsia="MingLiU-ExtB" w:cs="Arial"/>
          <w:color w:val="auto"/>
          <w:u w:val="single"/>
        </w:rPr>
        <w:t>is</w:t>
      </w:r>
      <w:r w:rsidRPr="008F5532">
        <w:rPr>
          <w:rFonts w:eastAsia="MingLiU-ExtB" w:cs="Arial"/>
          <w:color w:val="auto"/>
        </w:rPr>
        <w:t xml:space="preserve"> made by United States mail at least fifteen days prior to hearing date.  Notice to the public shall be given by appropriate publication in a newspaper in the form and manner prescribed by chapter 29A of this code.  The holding of a public hearing as outlined in this subsection shall have the effect of eliminating the right of the party making </w:t>
      </w:r>
      <w:r w:rsidRPr="008F5532">
        <w:rPr>
          <w:rFonts w:eastAsia="MingLiU-ExtB" w:cs="Arial"/>
          <w:strike/>
          <w:color w:val="auto"/>
        </w:rPr>
        <w:t>such</w:t>
      </w:r>
      <w:r w:rsidRPr="008F5532">
        <w:rPr>
          <w:rFonts w:eastAsia="MingLiU-ExtB" w:cs="Arial"/>
          <w:color w:val="auto"/>
        </w:rPr>
        <w:t xml:space="preserve"> </w:t>
      </w:r>
      <w:r w:rsidRPr="008F5532">
        <w:rPr>
          <w:rFonts w:eastAsia="MingLiU-ExtB" w:cs="Arial"/>
          <w:color w:val="auto"/>
          <w:u w:val="single"/>
        </w:rPr>
        <w:t>the</w:t>
      </w:r>
      <w:r w:rsidRPr="008F5532">
        <w:rPr>
          <w:rFonts w:eastAsia="MingLiU-ExtB" w:cs="Arial"/>
          <w:color w:val="auto"/>
        </w:rPr>
        <w:t xml:space="preserve"> filing to demand a hearing as stated in subsections (d) and (e) of this section.</w:t>
      </w:r>
    </w:p>
    <w:p w14:paraId="09772A44" w14:textId="77777777" w:rsidR="00C33014" w:rsidRDefault="00C33014" w:rsidP="00CC1F3B">
      <w:pPr>
        <w:pStyle w:val="Note"/>
      </w:pPr>
    </w:p>
    <w:p w14:paraId="4BBFF3F1" w14:textId="634B0B60" w:rsidR="004B19D7" w:rsidRPr="008F5532" w:rsidRDefault="00CF1DCA" w:rsidP="004B19D7">
      <w:pPr>
        <w:pStyle w:val="Note"/>
        <w:rPr>
          <w:color w:val="auto"/>
        </w:rPr>
      </w:pPr>
      <w:r>
        <w:t xml:space="preserve">NOTE: </w:t>
      </w:r>
      <w:r w:rsidR="004B19D7" w:rsidRPr="008F5532">
        <w:rPr>
          <w:color w:val="auto"/>
        </w:rPr>
        <w:t>The purpose of this bill is to limit the use of a credit score to banking institution credit scoring for casualty insurance rate filings. The bill prohibits the use of credit scoring as a consideration in calculating insurance rates in homeowners or automobile liability policies. The bill prohibits the number of inquiries</w:t>
      </w:r>
      <w:r w:rsidR="00BB449A">
        <w:rPr>
          <w:color w:val="auto"/>
        </w:rPr>
        <w:t xml:space="preserve"> or the contents of </w:t>
      </w:r>
      <w:r w:rsidR="004B19D7" w:rsidRPr="008F5532">
        <w:rPr>
          <w:color w:val="auto"/>
        </w:rPr>
        <w:t>a credit report</w:t>
      </w:r>
      <w:r w:rsidR="00D96B47">
        <w:rPr>
          <w:color w:val="auto"/>
        </w:rPr>
        <w:t xml:space="preserve"> or</w:t>
      </w:r>
      <w:r w:rsidR="004B19D7" w:rsidRPr="008F5532">
        <w:rPr>
          <w:color w:val="auto"/>
        </w:rPr>
        <w:t xml:space="preserve"> </w:t>
      </w:r>
      <w:r w:rsidR="00BB449A">
        <w:rPr>
          <w:color w:val="auto"/>
        </w:rPr>
        <w:t xml:space="preserve">the use of </w:t>
      </w:r>
      <w:r w:rsidR="004B19D7" w:rsidRPr="008F5532">
        <w:rPr>
          <w:color w:val="auto"/>
        </w:rPr>
        <w:t>credit score report from adversely affecting an application for insurance</w:t>
      </w:r>
      <w:r w:rsidR="00BB449A">
        <w:rPr>
          <w:color w:val="auto"/>
        </w:rPr>
        <w:t xml:space="preserve"> when disputed by the applicant; and when a credit score or report is utilized that it can only be generated by a banking institution.</w:t>
      </w:r>
      <w:r w:rsidR="004B19D7" w:rsidRPr="008F5532">
        <w:rPr>
          <w:color w:val="auto"/>
        </w:rPr>
        <w:t xml:space="preserve"> </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F12" w14:textId="77777777" w:rsidR="00AA069B" w:rsidRPr="00B844FE" w:rsidRDefault="00AA069B" w:rsidP="00B844FE">
      <w:r>
        <w:separator/>
      </w:r>
    </w:p>
  </w:endnote>
  <w:endnote w:type="continuationSeparator" w:id="0">
    <w:p w14:paraId="1B2FEE77" w14:textId="77777777" w:rsidR="00AA069B" w:rsidRPr="00B844FE" w:rsidRDefault="00AA06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9C68" w14:textId="77777777" w:rsidR="00AA069B" w:rsidRPr="00B844FE" w:rsidRDefault="00AA069B" w:rsidP="00B844FE">
      <w:r>
        <w:separator/>
      </w:r>
    </w:p>
  </w:footnote>
  <w:footnote w:type="continuationSeparator" w:id="0">
    <w:p w14:paraId="11B5522F" w14:textId="77777777" w:rsidR="00AA069B" w:rsidRPr="00B844FE" w:rsidRDefault="00AA06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28006D">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1046BC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3553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60B77">
          <w:rPr>
            <w:sz w:val="22"/>
            <w:szCs w:val="22"/>
          </w:rPr>
          <w:t>2025R3278</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40914"/>
    <w:rsid w:val="000573A9"/>
    <w:rsid w:val="00071101"/>
    <w:rsid w:val="00085D22"/>
    <w:rsid w:val="00093AB0"/>
    <w:rsid w:val="000C5C77"/>
    <w:rsid w:val="000E3912"/>
    <w:rsid w:val="0010070F"/>
    <w:rsid w:val="00127561"/>
    <w:rsid w:val="00135C53"/>
    <w:rsid w:val="0015112E"/>
    <w:rsid w:val="001552E7"/>
    <w:rsid w:val="001566B4"/>
    <w:rsid w:val="001A66B7"/>
    <w:rsid w:val="001C279E"/>
    <w:rsid w:val="001D459E"/>
    <w:rsid w:val="00211F02"/>
    <w:rsid w:val="0022348D"/>
    <w:rsid w:val="00235537"/>
    <w:rsid w:val="002524C4"/>
    <w:rsid w:val="0027011C"/>
    <w:rsid w:val="00274200"/>
    <w:rsid w:val="00275740"/>
    <w:rsid w:val="0028006D"/>
    <w:rsid w:val="002A0269"/>
    <w:rsid w:val="00303684"/>
    <w:rsid w:val="003143F5"/>
    <w:rsid w:val="00314854"/>
    <w:rsid w:val="00394191"/>
    <w:rsid w:val="003C51CD"/>
    <w:rsid w:val="003C6034"/>
    <w:rsid w:val="00400B5C"/>
    <w:rsid w:val="004368E0"/>
    <w:rsid w:val="004B19D7"/>
    <w:rsid w:val="004C13DD"/>
    <w:rsid w:val="004D2D87"/>
    <w:rsid w:val="004D3ABE"/>
    <w:rsid w:val="004E3441"/>
    <w:rsid w:val="00500579"/>
    <w:rsid w:val="005629D4"/>
    <w:rsid w:val="005A5366"/>
    <w:rsid w:val="006369EB"/>
    <w:rsid w:val="00637E73"/>
    <w:rsid w:val="00652870"/>
    <w:rsid w:val="006865E9"/>
    <w:rsid w:val="00686E9A"/>
    <w:rsid w:val="00691F3E"/>
    <w:rsid w:val="00694BFB"/>
    <w:rsid w:val="006A106B"/>
    <w:rsid w:val="006C523D"/>
    <w:rsid w:val="006D4036"/>
    <w:rsid w:val="007A5259"/>
    <w:rsid w:val="007A7081"/>
    <w:rsid w:val="007C14B4"/>
    <w:rsid w:val="007F1CF5"/>
    <w:rsid w:val="00834EDE"/>
    <w:rsid w:val="008736AA"/>
    <w:rsid w:val="008A20C8"/>
    <w:rsid w:val="008A6D30"/>
    <w:rsid w:val="008D275D"/>
    <w:rsid w:val="00916022"/>
    <w:rsid w:val="00946186"/>
    <w:rsid w:val="00976D10"/>
    <w:rsid w:val="00980327"/>
    <w:rsid w:val="00986478"/>
    <w:rsid w:val="009B5557"/>
    <w:rsid w:val="009C3F1B"/>
    <w:rsid w:val="009F1067"/>
    <w:rsid w:val="00A31E01"/>
    <w:rsid w:val="00A527AD"/>
    <w:rsid w:val="00A718CF"/>
    <w:rsid w:val="00AA069B"/>
    <w:rsid w:val="00AA59AA"/>
    <w:rsid w:val="00AE48A0"/>
    <w:rsid w:val="00AE61BE"/>
    <w:rsid w:val="00B02A40"/>
    <w:rsid w:val="00B16F25"/>
    <w:rsid w:val="00B24422"/>
    <w:rsid w:val="00B6470E"/>
    <w:rsid w:val="00B66B81"/>
    <w:rsid w:val="00B71E6F"/>
    <w:rsid w:val="00B80C20"/>
    <w:rsid w:val="00B844FE"/>
    <w:rsid w:val="00B86B4F"/>
    <w:rsid w:val="00BA1F84"/>
    <w:rsid w:val="00BB449A"/>
    <w:rsid w:val="00BC562B"/>
    <w:rsid w:val="00C33014"/>
    <w:rsid w:val="00C33434"/>
    <w:rsid w:val="00C34869"/>
    <w:rsid w:val="00C42EB6"/>
    <w:rsid w:val="00C62327"/>
    <w:rsid w:val="00C85096"/>
    <w:rsid w:val="00C877CF"/>
    <w:rsid w:val="00CB20EF"/>
    <w:rsid w:val="00CC1F3B"/>
    <w:rsid w:val="00CD12CB"/>
    <w:rsid w:val="00CD36CF"/>
    <w:rsid w:val="00CF1DCA"/>
    <w:rsid w:val="00D579FC"/>
    <w:rsid w:val="00D81C16"/>
    <w:rsid w:val="00D96B47"/>
    <w:rsid w:val="00DA4966"/>
    <w:rsid w:val="00DE526B"/>
    <w:rsid w:val="00DF199D"/>
    <w:rsid w:val="00E01542"/>
    <w:rsid w:val="00E365F1"/>
    <w:rsid w:val="00E60B77"/>
    <w:rsid w:val="00E62F48"/>
    <w:rsid w:val="00E77A7A"/>
    <w:rsid w:val="00E831B3"/>
    <w:rsid w:val="00E95FBC"/>
    <w:rsid w:val="00EC5E63"/>
    <w:rsid w:val="00EE70CB"/>
    <w:rsid w:val="00F01EF6"/>
    <w:rsid w:val="00F26596"/>
    <w:rsid w:val="00F41CA2"/>
    <w:rsid w:val="00F4208F"/>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90086DB6-399E-477D-9204-C17015A9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B19D7"/>
    <w:rPr>
      <w:rFonts w:eastAsia="Calibri"/>
      <w:b/>
      <w:caps/>
      <w:color w:val="000000"/>
      <w:sz w:val="24"/>
    </w:rPr>
  </w:style>
  <w:style w:type="character" w:customStyle="1" w:styleId="SectionHeadingChar">
    <w:name w:val="Section Heading Char"/>
    <w:link w:val="SectionHeading"/>
    <w:rsid w:val="004B19D7"/>
    <w:rPr>
      <w:rFonts w:eastAsia="Calibri"/>
      <w:b/>
      <w:color w:val="000000"/>
    </w:rPr>
  </w:style>
  <w:style w:type="character" w:customStyle="1" w:styleId="NoteChar">
    <w:name w:val="Note Char"/>
    <w:link w:val="Note"/>
    <w:rsid w:val="004B19D7"/>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DD527E" w:rsidRDefault="00DD527E">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DD527E" w:rsidRDefault="00DD527E">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DD527E" w:rsidRDefault="00DD527E">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DD527E" w:rsidRDefault="00DD527E">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DD527E" w:rsidRDefault="00DD527E">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40914"/>
    <w:rsid w:val="00135C53"/>
    <w:rsid w:val="005629D4"/>
    <w:rsid w:val="00652870"/>
    <w:rsid w:val="00AA59AA"/>
    <w:rsid w:val="00C877CF"/>
    <w:rsid w:val="00DB4F0A"/>
    <w:rsid w:val="00DD527E"/>
    <w:rsid w:val="00F0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2025-02-14T14:17:00Z</cp:lastPrinted>
  <dcterms:created xsi:type="dcterms:W3CDTF">2025-02-24T22:01:00Z</dcterms:created>
  <dcterms:modified xsi:type="dcterms:W3CDTF">2025-02-24T22:01:00Z</dcterms:modified>
</cp:coreProperties>
</file>